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Götene kommunfullmäktige</w:t>
      </w:r>
    </w:p>
    <w:p>
      <w:pPr>
        <w:pStyle w:val="Heading1"/>
      </w:pPr>
      <w:r>
        <w:t xml:space="preserve">Utveckla turism och företagande kring Kinnekulle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Götene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Kinnekulle är en stark tillgång men besöksnäringen behöver bättre samordning. Företagsklimatet rankas lågt (Svenskt Näringsliv 2025). En tydlig strategi kan skapa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Götene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Kinnekulle-turismstrategi tillsammans med näringslivet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inrätta ett destinationsbolag med kommunalt delägarskap.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förenkla tillståndsprocesser för evenemang och småföretag vid Kinnekulle.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500 000 kr årligen för marknadsföring av Kinnekulle som besöksmål.</w:t>
      </w:r>
    </w:p>
    <w:p>
      <w:pPr>
        <w:spacing w:before="360"/>
      </w:pPr>
    </w:p>
    <w:p>
      <w:r>
        <w:t xml:space="preserve">Götene,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Götene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2026-07-14T03:12:37.623Z</dcterms:created>
  <dcterms:modified xsi:type="dcterms:W3CDTF">2026-07-14T03:12:37.623Z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